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9A60A" w14:textId="77777777" w:rsidR="006D1E2F" w:rsidRDefault="006556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0370FF" w14:textId="77777777" w:rsidR="006D1E2F" w:rsidRDefault="006D1E2F">
      <w:pPr>
        <w:spacing w:line="420" w:lineRule="exact"/>
        <w:jc w:val="center"/>
        <w:rPr>
          <w:rFonts w:ascii="Arial" w:hAnsi="Arial" w:cs="Arial"/>
          <w:b/>
          <w:snapToGrid/>
          <w:sz w:val="32"/>
          <w:szCs w:val="32"/>
        </w:rPr>
      </w:pPr>
    </w:p>
    <w:p w14:paraId="6612DCA6" w14:textId="77777777" w:rsidR="006D1E2F" w:rsidRDefault="006556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CA7B713" w14:textId="77777777" w:rsidR="006D1E2F" w:rsidRDefault="006D1E2F">
      <w:pPr>
        <w:spacing w:line="420" w:lineRule="exact"/>
        <w:jc w:val="both"/>
        <w:rPr>
          <w:rFonts w:ascii="Arial" w:hAnsi="Arial" w:cs="Arial"/>
          <w:snapToGrid/>
        </w:rPr>
      </w:pPr>
    </w:p>
    <w:p w14:paraId="49274DE3" w14:textId="77777777" w:rsidR="006D1E2F" w:rsidRDefault="006556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3E3CC38" w14:textId="77777777" w:rsidR="006D1E2F" w:rsidRDefault="006556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51E3026" w14:textId="77777777" w:rsidR="006D1E2F" w:rsidRDefault="006D1E2F">
      <w:pPr>
        <w:spacing w:line="420" w:lineRule="exact"/>
        <w:jc w:val="both"/>
        <w:rPr>
          <w:rFonts w:ascii="Arial" w:hAnsi="Arial" w:cs="Arial"/>
          <w:i/>
          <w:snapToGrid/>
          <w:color w:val="0099FF"/>
          <w:sz w:val="18"/>
          <w:szCs w:val="18"/>
        </w:rPr>
      </w:pPr>
    </w:p>
    <w:p w14:paraId="0229F74D" w14:textId="77777777" w:rsidR="006D1E2F" w:rsidRDefault="006556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01021E" w14:textId="77777777" w:rsidR="006D1E2F" w:rsidRDefault="006D1E2F">
      <w:pPr>
        <w:pStyle w:val="aa"/>
        <w:spacing w:before="0" w:after="0" w:line="240" w:lineRule="auto"/>
        <w:jc w:val="left"/>
        <w:rPr>
          <w:rFonts w:ascii="Arial" w:hAnsi="Arial" w:cs="Arial"/>
          <w:bCs w:val="0"/>
          <w:sz w:val="21"/>
          <w:szCs w:val="21"/>
        </w:rPr>
      </w:pPr>
    </w:p>
    <w:p w14:paraId="04BAF4C6" w14:textId="77777777" w:rsidR="006D1E2F" w:rsidRDefault="0065569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dde-qt5integration 5.0.16</w:t>
      </w:r>
    </w:p>
    <w:p w14:paraId="134CF912" w14:textId="77777777" w:rsidR="006D1E2F" w:rsidRDefault="00655695">
      <w:pPr>
        <w:rPr>
          <w:rFonts w:ascii="Arial" w:hAnsi="Arial" w:cs="Arial"/>
          <w:b/>
        </w:rPr>
      </w:pPr>
      <w:r>
        <w:rPr>
          <w:rFonts w:ascii="Arial" w:hAnsi="Arial" w:cs="Arial"/>
          <w:b/>
        </w:rPr>
        <w:t xml:space="preserve">Copyright notice: </w:t>
      </w:r>
    </w:p>
    <w:p w14:paraId="0AFBD04E" w14:textId="038BF7BD" w:rsidR="006D1E2F" w:rsidRDefault="00F517A5">
      <w:pPr>
        <w:pStyle w:val="Default"/>
        <w:rPr>
          <w:rFonts w:ascii="宋体" w:hAnsi="宋体" w:cs="宋体"/>
          <w:sz w:val="22"/>
          <w:szCs w:val="22"/>
        </w:rPr>
      </w:pPr>
      <w:r w:rsidRPr="00F517A5">
        <w:rPr>
          <w:rFonts w:ascii="宋体" w:hAnsi="宋体" w:cs="宋体"/>
          <w:sz w:val="22"/>
          <w:szCs w:val="22"/>
        </w:rPr>
        <w:t xml:space="preserve">Copyright (C) 2007 Free Software Foundation, Inc. </w:t>
      </w:r>
      <w:hyperlink r:id="rId7" w:history="1">
        <w:r w:rsidRPr="00EB06C8">
          <w:rPr>
            <w:rStyle w:val="af"/>
            <w:rFonts w:ascii="宋体" w:hAnsi="宋体" w:cs="宋体"/>
            <w:sz w:val="22"/>
            <w:szCs w:val="22"/>
          </w:rPr>
          <w:t>http://fsf.org/</w:t>
        </w:r>
      </w:hyperlink>
    </w:p>
    <w:p w14:paraId="69BF759E" w14:textId="660C9A43" w:rsidR="00F517A5" w:rsidRDefault="00F517A5">
      <w:pPr>
        <w:pStyle w:val="Default"/>
        <w:rPr>
          <w:rFonts w:ascii="宋体" w:hAnsi="宋体" w:cs="宋体" w:hint="eastAsia"/>
          <w:sz w:val="22"/>
          <w:szCs w:val="22"/>
        </w:rPr>
      </w:pPr>
      <w:r w:rsidRPr="00F517A5">
        <w:rPr>
          <w:rFonts w:ascii="宋体" w:hAnsi="宋体" w:cs="宋体"/>
          <w:sz w:val="22"/>
          <w:szCs w:val="22"/>
        </w:rPr>
        <w:t>Copyright: 2017 Deepin.Inc &lt;support@deepin.com&gt;</w:t>
      </w:r>
    </w:p>
    <w:p w14:paraId="7972EC9E" w14:textId="77777777" w:rsidR="006D1E2F" w:rsidRDefault="00655695">
      <w:pPr>
        <w:pStyle w:val="Default"/>
        <w:rPr>
          <w:rFonts w:ascii="宋体" w:hAnsi="宋体" w:cs="宋体"/>
          <w:sz w:val="22"/>
          <w:szCs w:val="22"/>
        </w:rPr>
      </w:pPr>
      <w:r>
        <w:rPr>
          <w:b/>
        </w:rPr>
        <w:t xml:space="preserve">License: </w:t>
      </w:r>
      <w:r>
        <w:rPr>
          <w:sz w:val="21"/>
        </w:rPr>
        <w:t>GPLv3+</w:t>
      </w:r>
    </w:p>
    <w:p w14:paraId="48EC50A6" w14:textId="77777777" w:rsidR="006D1E2F" w:rsidRDefault="00655695">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w:t>
      </w:r>
      <w:r>
        <w:rPr>
          <w:rFonts w:ascii="Times New Roman" w:hAnsi="Times New Roman"/>
          <w:sz w:val="21"/>
        </w:rPr>
        <w:t>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Fonts w:ascii="Times New Roman" w:hAnsi="Times New Roman"/>
          <w:sz w:val="21"/>
        </w:rPr>
        <w:t xml:space="preserve">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w:t>
      </w:r>
      <w:r>
        <w:rPr>
          <w:rFonts w:ascii="Times New Roman" w:hAnsi="Times New Roman"/>
          <w:sz w:val="21"/>
        </w:rPr>
        <w:t>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w:t>
      </w:r>
      <w:r>
        <w:rPr>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Fonts w:ascii="Times New Roman" w:hAnsi="Times New Roman"/>
          <w:sz w:val="21"/>
        </w:rPr>
        <w:t>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w:t>
      </w:r>
      <w:r>
        <w:rPr>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Fonts w:ascii="Times New Roman" w:hAnsi="Times New Roman"/>
          <w:sz w:val="21"/>
        </w:rPr>
        <w:t>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Fonts w:ascii="Times New Roman" w:hAnsi="Times New Roman"/>
          <w:sz w:val="21"/>
        </w:rPr>
        <w:t>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w:t>
      </w:r>
      <w:r>
        <w:rPr>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Fonts w:ascii="Times New Roman" w:hAnsi="Times New Roman"/>
          <w:sz w:val="21"/>
        </w:rPr>
        <w:t>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w:t>
      </w:r>
      <w:r>
        <w:rPr>
          <w:rFonts w:ascii="Times New Roman" w:hAnsi="Times New Roman"/>
          <w:sz w:val="21"/>
        </w:rPr>
        <w:t xml:space="preserve">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w:t>
      </w:r>
      <w:r>
        <w:rPr>
          <w:rFonts w:ascii="Times New Roman" w:hAnsi="Times New Roman"/>
          <w:sz w:val="21"/>
        </w:rPr>
        <w:t>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t>secondarily liable for infringement under applicable copyright law, except executing it on a computer or modifying a private copy. Propagation includes copying, distribution (with or without modification), making available to the public, and in some countr</w:t>
      </w:r>
      <w:r>
        <w:rPr>
          <w:rFonts w:ascii="Times New Roman" w:hAnsi="Times New Roman"/>
          <w:sz w:val="21"/>
        </w:rPr>
        <w:t>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w:t>
      </w:r>
      <w:r>
        <w:rPr>
          <w:rFonts w:ascii="Times New Roman" w:hAnsi="Times New Roman"/>
          <w:sz w:val="21"/>
        </w:rPr>
        <w:t>r interface displays “Appropriate Legal Notices” to the extent that it includes a convenient and prominently visible feature that (1) displays an appropriate copyright notice, and (2) tells the user that there is no warranty for the work (except to the ext</w:t>
      </w:r>
      <w:r>
        <w:rPr>
          <w:rFonts w:ascii="Times New Roman" w:hAnsi="Times New Roman"/>
          <w:sz w:val="21"/>
        </w:rPr>
        <w:t>ent that warranties are provided), that licensees may convey the work under this License, and how to view a copy of this License. If the interface presents a list of user commands or options, such as a menu, a prominent item in the list meets this criterio</w:t>
      </w:r>
      <w:r>
        <w:rPr>
          <w:rFonts w:ascii="Times New Roman" w:hAnsi="Times New Roman"/>
          <w:sz w:val="21"/>
        </w:rPr>
        <w:t>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w:t>
      </w:r>
      <w:r>
        <w:rPr>
          <w:rFonts w:ascii="Times New Roman" w:hAnsi="Times New Roman"/>
          <w:sz w:val="21"/>
        </w:rPr>
        <w:t>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w:t>
      </w:r>
      <w:r>
        <w:rPr>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Fonts w:ascii="Times New Roman" w:hAnsi="Times New Roman"/>
          <w:sz w:val="21"/>
        </w:rPr>
        <w:t>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w:t>
      </w:r>
      <w:r>
        <w:rPr>
          <w:rFonts w:ascii="Times New Roman" w:hAnsi="Times New Roman"/>
          <w:sz w:val="21"/>
        </w:rPr>
        <w:t xml:space="preserve">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w:t>
      </w:r>
      <w:r>
        <w:rPr>
          <w:rFonts w:ascii="Times New Roman" w:hAnsi="Times New Roman"/>
          <w:sz w:val="21"/>
        </w:rP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rPr>
          <w:rFonts w:ascii="Times New Roman" w:hAnsi="Times New Roman"/>
          <w:sz w:val="21"/>
        </w:rPr>
        <w:t>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w:t>
      </w:r>
      <w:r>
        <w:rPr>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Fonts w:ascii="Times New Roman" w:hAnsi="Times New Roman"/>
          <w:sz w:val="21"/>
        </w:rPr>
        <w:t>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w:t>
      </w:r>
      <w:r>
        <w:rPr>
          <w:rFonts w:ascii="Times New Roman" w:hAnsi="Times New Roman"/>
          <w:sz w:val="21"/>
        </w:rPr>
        <w:t>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w:t>
      </w:r>
      <w:r>
        <w:rPr>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w:t>
      </w:r>
      <w:r>
        <w:rPr>
          <w:rFonts w:ascii="Times New Roman" w:hAnsi="Times New Roman"/>
          <w:sz w:val="21"/>
        </w:rPr>
        <w:t>l power to forbid circumvention of technological measures to the extent such circumvention is effected by exercising rights under this License with respect to the covered work, and you disclaim any intention to limit operation or modification of the work a</w:t>
      </w:r>
      <w:r>
        <w:rPr>
          <w:rFonts w:ascii="Times New Roman" w:hAnsi="Times New Roman"/>
          <w:sz w:val="21"/>
        </w:rPr>
        <w:t>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w:t>
      </w:r>
      <w:r>
        <w:rPr>
          <w:rFonts w:ascii="Times New Roman" w:hAnsi="Times New Roman"/>
          <w:sz w:val="21"/>
        </w:rPr>
        <w:t xml:space="preserv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w:t>
      </w:r>
      <w:r>
        <w:rPr>
          <w:rFonts w:ascii="Times New Roman" w:hAnsi="Times New Roman"/>
          <w:sz w:val="21"/>
        </w:rPr>
        <w:t>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w:t>
      </w:r>
      <w:r>
        <w:rPr>
          <w:rFonts w:ascii="Times New Roman" w:hAnsi="Times New Roman"/>
          <w:sz w:val="21"/>
        </w:rPr>
        <w:t>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w:t>
      </w:r>
      <w:r>
        <w:rPr>
          <w:rFonts w:ascii="Times New Roman" w:hAnsi="Times New Roman"/>
          <w:sz w:val="21"/>
        </w:rPr>
        <w:t>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w:t>
      </w:r>
      <w:r>
        <w:rPr>
          <w:rFonts w:ascii="Times New Roman" w:hAnsi="Times New Roman"/>
          <w:sz w:val="21"/>
        </w:rPr>
        <w:t xml:space="preserve">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w:t>
      </w:r>
      <w:r>
        <w:rPr>
          <w:rFonts w:ascii="Times New Roman" w:hAnsi="Times New Roman"/>
          <w:sz w:val="21"/>
        </w:rPr>
        <w:t xml:space="preserv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w:t>
      </w:r>
      <w:r>
        <w:rPr>
          <w:rFonts w:ascii="Times New Roman" w:hAnsi="Times New Roman"/>
          <w:sz w:val="21"/>
        </w:rPr>
        <w:t>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w:t>
      </w:r>
      <w:r>
        <w:rPr>
          <w:rFonts w:ascii="Times New Roman" w:hAnsi="Times New Roman"/>
          <w:sz w:val="21"/>
        </w:rPr>
        <w:t>s, which are not by their nature extensions of the covered work, and which are not combined with it such as to form a larger program, in or on a volume of a storage or distribution medium, is called an “aggregate” if the compilation and its resulting copyr</w:t>
      </w:r>
      <w:r>
        <w:rPr>
          <w:rFonts w:ascii="Times New Roman" w:hAnsi="Times New Roman"/>
          <w:sz w:val="21"/>
        </w:rPr>
        <w:t>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w:t>
      </w:r>
      <w:r>
        <w:rPr>
          <w:rFonts w:ascii="Times New Roman" w:hAnsi="Times New Roman"/>
          <w:sz w:val="21"/>
        </w:rPr>
        <w:t>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w:t>
      </w:r>
      <w:r>
        <w:rPr>
          <w:rFonts w:ascii="Times New Roman" w:hAnsi="Times New Roman"/>
          <w:sz w:val="21"/>
        </w:rPr>
        <w:t xml:space="preserv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w:t>
      </w:r>
      <w:r>
        <w:rPr>
          <w:rFonts w:ascii="Times New Roman" w:hAnsi="Times New Roman"/>
          <w:sz w:val="21"/>
        </w:rPr>
        <w:t>al product (including a physical distribution medium), accompanied by a written offer, valid for at least three years and valid for as long as you offer spare parts or customer support for that product model, to give anyone who possesses the object code ei</w:t>
      </w:r>
      <w:r>
        <w:rPr>
          <w:rFonts w:ascii="Times New Roman" w:hAnsi="Times New Roman"/>
          <w:sz w:val="21"/>
        </w:rPr>
        <w:t xml:space="preserve">ther (1) a copy of the Corresponding Source for all the software in the product that is covered by this License, on a durable physical medium customarily used for software interchange, for a price no more than your reasonable cost of physically performing </w:t>
      </w:r>
      <w:r>
        <w:rPr>
          <w:rFonts w:ascii="Times New Roman" w:hAnsi="Times New Roman"/>
          <w:sz w:val="21"/>
        </w:rPr>
        <w:t>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w:t>
      </w:r>
      <w:r>
        <w:rPr>
          <w:rFonts w:ascii="Times New Roman" w:hAnsi="Times New Roman"/>
          <w:sz w:val="21"/>
        </w:rPr>
        <w:t xml:space="preserve">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w:t>
      </w:r>
      <w:r>
        <w:rPr>
          <w:rFonts w:ascii="Times New Roman" w:hAnsi="Times New Roman"/>
          <w:sz w:val="21"/>
        </w:rPr>
        <w:t>e Corresponding Source in the same way through the same place at no further charge. You need not require recipients to copy the Corresponding Source along with the object code. If the place to copy the object code is a network server, the Corresponding Sou</w:t>
      </w:r>
      <w:r>
        <w:rPr>
          <w:rFonts w:ascii="Times New Roman" w:hAnsi="Times New Roman"/>
          <w:sz w:val="21"/>
        </w:rPr>
        <w:t>rce may be on a different server (operated by you or a third party) that supports equivalent copying facilities, provided you maintain clear directions next to the object code saying where to find the Corresponding Source. Regardless of what server hosts t</w:t>
      </w:r>
      <w:r>
        <w:rPr>
          <w:rFonts w:ascii="Times New Roman" w:hAnsi="Times New Roman"/>
          <w:sz w:val="21"/>
        </w:rPr>
        <w: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w:t>
      </w:r>
      <w:r>
        <w:rPr>
          <w:rFonts w:ascii="Times New Roman" w:hAnsi="Times New Roman"/>
          <w:sz w:val="21"/>
        </w:rPr>
        <w:t>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w:t>
      </w:r>
      <w:r>
        <w:rPr>
          <w:rFonts w:ascii="Times New Roman" w:hAnsi="Times New Roman"/>
          <w:sz w:val="21"/>
        </w:rPr>
        <w:t xml:space="preserv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w:t>
      </w:r>
      <w:r>
        <w:rPr>
          <w:rFonts w:ascii="Times New Roman" w:hAnsi="Times New Roman"/>
          <w:sz w:val="21"/>
        </w:rPr>
        <w:t>etermining whether a product is a consumer product, doubtful cases shall be resolved in favor of coverage. For a particular product received by a particular user, “normally used” refers to a typical or common use of that class of product, regardless of the</w:t>
      </w:r>
      <w:r>
        <w:rPr>
          <w:rFonts w:ascii="Times New Roman" w:hAnsi="Times New Roman"/>
          <w:sz w:val="21"/>
        </w:rP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rPr>
          <w:rFonts w:ascii="Times New Roman" w:hAnsi="Times New Roman"/>
          <w:sz w:val="21"/>
        </w:rPr>
        <w:t xml:space="preserve">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w:t>
      </w:r>
      <w:r>
        <w:rPr>
          <w:rFonts w:ascii="Times New Roman" w:hAnsi="Times New Roman"/>
          <w:sz w:val="21"/>
        </w:rPr>
        <w:t xml:space="preserve"> covered work in that User Product from a modified version of its Corresponding Source. The information must suffice to ensure that the continued functioning of the modified object code is in no case prevented or interfered with solely because modification</w:t>
      </w:r>
      <w:r>
        <w:rPr>
          <w:rFonts w:ascii="Times New Roman" w:hAnsi="Times New Roman"/>
          <w:sz w:val="21"/>
        </w:rPr>
        <w:t xml:space="preserve">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w:t>
      </w:r>
      <w:r>
        <w:rPr>
          <w:rFonts w:ascii="Times New Roman" w:hAnsi="Times New Roman"/>
          <w:sz w:val="21"/>
        </w:rPr>
        <w:t>the recipient in perpetuity or for a fixed term (regardless of how the transaction is characterized), the Corresponding Source conveyed under this section must be accompanied by the Installation Information. But this requirement does not apply if neither y</w:t>
      </w:r>
      <w:r>
        <w:rPr>
          <w:rFonts w:ascii="Times New Roman" w:hAnsi="Times New Roman"/>
          <w:sz w:val="21"/>
        </w:rPr>
        <w:t>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w:t>
      </w:r>
      <w:r>
        <w:rPr>
          <w:rFonts w:ascii="Times New Roman" w:hAnsi="Times New Roman"/>
          <w:sz w:val="21"/>
        </w:rPr>
        <w:t xml:space="preserve">port service, warranty, or updates for a work that has been modified or installed by the recipient, or for the User Product in which it has been modified or installed. Access to a network may be denied when the modification itself materially and adversely </w:t>
      </w:r>
      <w:r>
        <w:rPr>
          <w:rFonts w:ascii="Times New Roman" w:hAnsi="Times New Roman"/>
          <w:sz w:val="21"/>
        </w:rPr>
        <w:t>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w:t>
      </w:r>
      <w:r>
        <w:rPr>
          <w:rFonts w:ascii="Times New Roman" w:hAnsi="Times New Roman"/>
          <w:sz w:val="21"/>
        </w:rPr>
        <w:t>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w:t>
      </w:r>
      <w:r>
        <w:rPr>
          <w:rFonts w:ascii="Times New Roman" w:hAnsi="Times New Roman"/>
          <w:sz w:val="21"/>
        </w:rP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rPr>
          <w:rFonts w:ascii="Times New Roman" w:hAnsi="Times New Roman"/>
          <w:sz w:val="21"/>
        </w:rPr>
        <w:t>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w:t>
      </w:r>
      <w:r>
        <w:rPr>
          <w:rFonts w:ascii="Times New Roman" w:hAnsi="Times New Roman"/>
          <w:sz w:val="21"/>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Fonts w:ascii="Times New Roman" w:hAnsi="Times New Roman"/>
          <w:sz w:val="21"/>
        </w:rPr>
        <w:t>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w:t>
      </w:r>
      <w:r>
        <w:rPr>
          <w:rFonts w:ascii="Times New Roman" w:hAnsi="Times New Roman"/>
          <w:sz w:val="21"/>
        </w:rPr>
        <w:t>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w:t>
      </w:r>
      <w:r>
        <w:rPr>
          <w:rFonts w:ascii="Times New Roman" w:hAnsi="Times New Roman"/>
          <w:sz w:val="21"/>
        </w:rPr>
        <w:t>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w:t>
      </w:r>
      <w:r>
        <w:rPr>
          <w:rFonts w:ascii="Times New Roman" w:hAnsi="Times New Roman"/>
          <w:sz w:val="21"/>
        </w:rPr>
        <w:t>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w:t>
      </w:r>
      <w:r>
        <w:rPr>
          <w:rFonts w:ascii="Times New Roman" w:hAnsi="Times New Roman"/>
          <w:sz w:val="21"/>
        </w:rPr>
        <w:t>censors and authors of that material by anyone who conveys the material (or modified versions of it) with contractual assumptions of liability to the recipient, for any liability that these contractual assumptions directly impose on those licensors and aut</w:t>
      </w:r>
      <w:r>
        <w:rPr>
          <w:rFonts w:ascii="Times New Roman" w:hAnsi="Times New Roman"/>
          <w:sz w:val="21"/>
        </w:rPr>
        <w: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w:t>
      </w:r>
      <w:r>
        <w:rPr>
          <w:rFonts w:ascii="Times New Roman" w:hAnsi="Times New Roman"/>
          <w:sz w:val="21"/>
        </w:rPr>
        <w:t>at is a further restriction, you may remove that term. If a license document contains a further restriction but permits relicensing or conveying under this License, you may add to a covered work material governed by the terms of that license document, prov</w:t>
      </w:r>
      <w:r>
        <w:rPr>
          <w:rFonts w:ascii="Times New Roman" w:hAnsi="Times New Roman"/>
          <w:sz w:val="21"/>
        </w:rPr>
        <w:t>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w:t>
      </w:r>
      <w:r>
        <w:rPr>
          <w:rFonts w:ascii="Times New Roman" w:hAnsi="Times New Roman"/>
          <w:sz w:val="21"/>
        </w:rPr>
        <w:t>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w:t>
      </w:r>
      <w:r>
        <w:rPr>
          <w:rFonts w:ascii="Times New Roman" w:hAnsi="Times New Roman"/>
          <w:sz w:val="21"/>
        </w:rPr>
        <w:t xml:space="preserve">y not propagate or modify a covered work except as expressly provided under this License. Any attempt otherwise to propagate or modify it is void, and will automatically terminate your rights under this License (including any patent licenses granted under </w:t>
      </w:r>
      <w:r>
        <w:rPr>
          <w:rFonts w:ascii="Times New Roman" w:hAnsi="Times New Roman"/>
          <w:sz w:val="21"/>
        </w:rPr>
        <w:t>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w:t>
      </w:r>
      <w:r>
        <w:rPr>
          <w:rFonts w:ascii="Times New Roman" w:hAnsi="Times New Roman"/>
          <w:sz w:val="21"/>
        </w:rPr>
        <w:t>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w:t>
      </w:r>
      <w:r>
        <w:rPr>
          <w:rFonts w:ascii="Times New Roman" w:hAnsi="Times New Roman"/>
          <w:sz w:val="21"/>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t>.</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t>
      </w:r>
      <w:r>
        <w:rPr>
          <w:rFonts w:ascii="Times New Roman" w:hAnsi="Times New Roman"/>
          <w:sz w:val="21"/>
        </w:rPr>
        <w:t>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w:t>
      </w:r>
      <w:r>
        <w:rPr>
          <w:rFonts w:ascii="Times New Roman" w:hAnsi="Times New Roman"/>
          <w:sz w:val="21"/>
        </w:rPr>
        <w:t>nsequence of using peer-to-peer transmission to receive a copy likewise does not require acceptance. However, nothing other than this License grants you permission to propagate or modify any covered work. These actions infringe copyright if you do not acce</w:t>
      </w:r>
      <w:r>
        <w:rPr>
          <w:rFonts w:ascii="Times New Roman" w:hAnsi="Times New Roman"/>
          <w:sz w:val="21"/>
        </w:rPr>
        <w:t>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w:t>
      </w:r>
      <w:r>
        <w:rPr>
          <w:rFonts w:ascii="Times New Roman" w:hAnsi="Times New Roman"/>
          <w:sz w:val="21"/>
        </w:rPr>
        <w:t>ganization, or substantially all assets of one, or subdividing an organization, or merging organizations. If propagation of a covered work results from an entity transaction, each party to that transaction who receives a copy of the work also receives what</w:t>
      </w:r>
      <w:r>
        <w:rPr>
          <w:rFonts w:ascii="Times New Roman" w:hAnsi="Times New Roman"/>
          <w:sz w:val="21"/>
        </w:rP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w:t>
      </w:r>
      <w:r>
        <w:rPr>
          <w:rFonts w:ascii="Times New Roman" w:hAnsi="Times New Roman"/>
          <w:sz w:val="21"/>
        </w:rPr>
        <w: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w:t>
      </w:r>
      <w:r>
        <w:rPr>
          <w:rFonts w:ascii="Times New Roman" w:hAnsi="Times New Roman"/>
          <w:sz w:val="21"/>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Times New Roman" w:hAnsi="Times New Roman"/>
          <w:sz w:val="21"/>
        </w:rPr>
        <w:t>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w:t>
      </w:r>
      <w:r>
        <w:rPr>
          <w:rFonts w:ascii="Times New Roman" w:hAnsi="Times New Roman"/>
          <w:sz w:val="21"/>
        </w:rPr>
        <w:t xml:space="preserve">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w:t>
      </w:r>
      <w:r>
        <w:rPr>
          <w:rFonts w:ascii="Times New Roman" w:hAnsi="Times New Roman"/>
          <w:sz w:val="21"/>
        </w:rPr>
        <w:t>e paragraphs, a “patent license” is any express agreement or commitment, however denominated, not to enforce a patent (such as an express permission to practice a patent or covenant not to sue for patent infringement). To “grant” such a patent license to a</w:t>
      </w:r>
      <w:r>
        <w:rPr>
          <w:rFonts w:ascii="Times New Roman" w:hAnsi="Times New Roman"/>
          <w:sz w:val="21"/>
        </w:rPr>
        <w:t xml:space="preserve">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w:t>
      </w:r>
      <w:r>
        <w:rPr>
          <w:rFonts w:ascii="Times New Roman" w:hAnsi="Times New Roman"/>
          <w:sz w:val="21"/>
        </w:rPr>
        <w:t>ge and under the terms of this License, through a publicly available network server or other readily accessible means, then you must either (1) cause the Corresponding Source to be so available, or (2) arrange to deprive yourself of the benefit of the pate</w:t>
      </w:r>
      <w:r>
        <w:rPr>
          <w:rFonts w:ascii="Times New Roman" w:hAnsi="Times New Roman"/>
          <w:sz w:val="21"/>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Fonts w:ascii="Times New Roman" w:hAnsi="Times New Roman"/>
          <w:sz w:val="21"/>
        </w:rPr>
        <w:t>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w:t>
      </w:r>
      <w:r>
        <w:rPr>
          <w:rFonts w:ascii="Times New Roman" w:hAnsi="Times New Roman"/>
          <w:sz w:val="21"/>
        </w:rPr>
        <w:t>le transaction or arrangement, you convey, or propagate by procuring conveyance of, a covered work, and grant a patent license to some of the parties receiving the covered work authorizing them to use, propagate, modify or convey a specific copy of the cov</w:t>
      </w:r>
      <w:r>
        <w:rPr>
          <w:rFonts w:ascii="Times New Roman" w:hAnsi="Times New Roman"/>
          <w:sz w:val="21"/>
        </w:rPr>
        <w:t>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w:t>
      </w:r>
      <w:r>
        <w:rPr>
          <w:rFonts w:ascii="Times New Roman" w:hAnsi="Times New Roman"/>
          <w:sz w:val="21"/>
        </w:rP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rPr>
          <w:rFonts w:ascii="Times New Roman" w:hAnsi="Times New Roman"/>
          <w:sz w:val="21"/>
        </w:rPr>
        <w:t>nder which you make payment to the third party based on the extent of your activity of conveying the work, and under which the third party grants, to any of the parties who would receive the covered work from you, a discriminatory patent license (a) in con</w:t>
      </w:r>
      <w:r>
        <w:rPr>
          <w:rFonts w:ascii="Times New Roman" w:hAnsi="Times New Roman"/>
          <w:sz w:val="21"/>
        </w:rPr>
        <w:t>nection with copies of the covered work conveyed by you (or copies made from those copies), or (b) primarily for and in connection with specific products or compilations that contain the covered work, unless you entered into that arrangement, or that paten</w:t>
      </w:r>
      <w:r>
        <w:rPr>
          <w:rFonts w:ascii="Times New Roman" w:hAnsi="Times New Roman"/>
          <w:sz w:val="21"/>
        </w:rPr>
        <w:t>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w:t>
      </w:r>
      <w:r>
        <w:rPr>
          <w:rFonts w:ascii="Times New Roman" w:hAnsi="Times New Roman"/>
          <w:sz w:val="21"/>
        </w:rPr>
        <w:t>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w:t>
      </w:r>
      <w:r>
        <w:rPr>
          <w:rFonts w:ascii="Times New Roman" w:hAnsi="Times New Roman"/>
          <w:sz w:val="21"/>
        </w:rPr>
        <w:t>atisfy simultaneously your obligations under this License and any other pertinent obligations, then as a consequence you may not convey it at all. For example, if you agree to terms that obligate you to collect a royalty for further conveying from those to</w:t>
      </w:r>
      <w:r>
        <w:rPr>
          <w:rFonts w:ascii="Times New Roman" w:hAnsi="Times New Roman"/>
          <w:sz w:val="21"/>
        </w:rPr>
        <w:t xml:space="preserve">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w:t>
      </w:r>
      <w:r>
        <w:rPr>
          <w:rFonts w:ascii="Times New Roman" w:hAnsi="Times New Roman"/>
          <w:sz w:val="21"/>
        </w:rPr>
        <w:t>, you have permission to link or combine any covered work with a work licensed under version 3 of the GNU Affero General Public License into a single combined work, and to convey the resulting work. The terms of this License will continue to apply to the p</w:t>
      </w:r>
      <w:r>
        <w:rPr>
          <w:rFonts w:ascii="Times New Roman" w:hAnsi="Times New Roman"/>
          <w:sz w:val="21"/>
        </w:rPr>
        <w:t>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w:t>
      </w:r>
      <w:r>
        <w:rPr>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w:t>
      </w:r>
      <w:r>
        <w:rPr>
          <w:rFonts w:ascii="Times New Roman" w:hAnsi="Times New Roman"/>
          <w:sz w:val="21"/>
        </w:rPr>
        <w:t>stinguishing version number. If the Program specifies that a certain numbered version of the GNU General Public License “or any later version” applies to it, you have the option of following the terms and conditions either of that numbered version or of an</w:t>
      </w:r>
      <w:r>
        <w:rPr>
          <w:rFonts w:ascii="Times New Roman" w:hAnsi="Times New Roman"/>
          <w:sz w:val="21"/>
        </w:rPr>
        <w:t>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w:t>
      </w:r>
      <w:r>
        <w:rPr>
          <w:rFonts w:ascii="Times New Roman" w:hAnsi="Times New Roman"/>
          <w:sz w:val="21"/>
        </w:rPr>
        <w:t xml:space="preserve">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w:t>
      </w:r>
      <w:r>
        <w:rPr>
          <w:rFonts w:ascii="Times New Roman" w:hAnsi="Times New Roman"/>
          <w:sz w:val="21"/>
        </w:rPr>
        <w:t>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w:t>
      </w:r>
      <w:r>
        <w:rPr>
          <w:rFonts w:ascii="Times New Roman" w:hAnsi="Times New Roman"/>
          <w:sz w:val="21"/>
        </w:rPr>
        <w:t xml:space="preserve">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w:t>
      </w:r>
      <w:r>
        <w:rPr>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w:t>
      </w:r>
      <w:r>
        <w:rPr>
          <w:rFonts w:ascii="Times New Roman" w:hAnsi="Times New Roman"/>
          <w:sz w:val="21"/>
        </w:rPr>
        <w:t>NO EVENT UNLESS REQUIRED BY APPLICABLE LAW OR AGREED TO IN WRITING WILL ANY COPYRIGHT HOLDER, OR ANY OTHER PARTY WHO MODIFIES AND/OR CONVEYS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w:t>
      </w:r>
      <w:r>
        <w:rPr>
          <w:rFonts w:ascii="Times New Roman" w:hAnsi="Times New Roman"/>
          <w:sz w:val="21"/>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w:t>
      </w:r>
      <w:r>
        <w:rPr>
          <w:rFonts w:ascii="Times New Roman" w:hAnsi="Times New Roman"/>
          <w:sz w:val="21"/>
        </w:rPr>
        <w: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w:t>
      </w:r>
      <w:r>
        <w:rPr>
          <w:rFonts w:ascii="Times New Roman" w:hAnsi="Times New Roman"/>
          <w:sz w:val="21"/>
        </w:rPr>
        <w:t>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w:t>
      </w:r>
      <w:r>
        <w:rPr>
          <w:rFonts w:ascii="Times New Roman" w:hAnsi="Times New Roman"/>
          <w:sz w:val="21"/>
        </w:rPr>
        <w:t xml:space="preserve">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w:t>
      </w:r>
      <w:r>
        <w:rPr>
          <w:rFonts w:ascii="Times New Roman" w:hAnsi="Times New Roman"/>
          <w:sz w:val="21"/>
        </w:rPr>
        <w:t>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w:t>
      </w:r>
      <w:r>
        <w:rPr>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sz w:val="21"/>
        </w:rPr>
        <w:t>ublic License instead of this License. But first, please read &lt;https://www.gnu.org/licenses/why-not-lgpl.html&gt;.</w:t>
      </w:r>
    </w:p>
    <w:p w14:paraId="2CDED5D6" w14:textId="77777777" w:rsidR="006D1E2F" w:rsidRDefault="0065569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BE2AEF" w14:textId="77777777" w:rsidR="006D1E2F" w:rsidRDefault="00655695">
      <w:r>
        <w:rPr>
          <w:rFonts w:ascii="Arial" w:hAnsi="Arial" w:cs="Arial"/>
        </w:rPr>
        <w:t>This product contains software whose rights holders license it on the terms of the GNU General Public License, version 2 (GPLv2)</w:t>
      </w:r>
      <w:r>
        <w:rPr>
          <w:rFonts w:ascii="Arial" w:hAnsi="Arial" w:cs="Arial"/>
        </w:rPr>
        <w:t xml:space="preserve">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49821BDE" w14:textId="77777777" w:rsidR="006D1E2F" w:rsidRDefault="00655695">
      <w:pPr>
        <w:rPr>
          <w:rFonts w:ascii="Arial" w:hAnsi="Arial" w:cs="Arial"/>
          <w:color w:val="0000FF"/>
          <w:u w:val="single"/>
        </w:rPr>
      </w:pPr>
      <w:r>
        <w:rPr>
          <w:rFonts w:ascii="Arial" w:hAnsi="Arial" w:cs="Arial" w:hint="eastAsia"/>
          <w:color w:val="0000FF"/>
          <w:u w:val="single"/>
        </w:rPr>
        <w:t>foss@hua</w:t>
      </w:r>
      <w:r>
        <w:rPr>
          <w:rFonts w:ascii="Arial" w:hAnsi="Arial" w:cs="Arial" w:hint="eastAsia"/>
          <w:color w:val="0000FF"/>
          <w:u w:val="single"/>
        </w:rPr>
        <w:t>wei.com</w:t>
      </w:r>
    </w:p>
    <w:p w14:paraId="1F73F608" w14:textId="77777777" w:rsidR="006D1E2F" w:rsidRDefault="0065569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EB25757" w14:textId="77777777" w:rsidR="006D1E2F" w:rsidRDefault="0065569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ACD748D" w14:textId="77777777" w:rsidR="006D1E2F" w:rsidRDefault="0065569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6FD3E29" w14:textId="77777777" w:rsidR="006D1E2F" w:rsidRDefault="00655695">
      <w:pPr>
        <w:rPr>
          <w:b/>
          <w:caps/>
        </w:rPr>
      </w:pPr>
      <w:r>
        <w:rPr>
          <w:b/>
          <w:caps/>
        </w:rPr>
        <w:lastRenderedPageBreak/>
        <w:t xml:space="preserve">This offer is valid for three years from the moment we distributed the product or firmware </w:t>
      </w:r>
      <w:r>
        <w:rPr>
          <w:rFonts w:hint="eastAsia"/>
          <w:b/>
          <w:caps/>
        </w:rPr>
        <w:t>.</w:t>
      </w:r>
      <w:bookmarkEnd w:id="0"/>
      <w:bookmarkEnd w:id="1"/>
    </w:p>
    <w:sectPr w:rsidR="006D1E2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8FB75" w14:textId="77777777" w:rsidR="00655695" w:rsidRDefault="00655695">
      <w:pPr>
        <w:spacing w:line="240" w:lineRule="auto"/>
      </w:pPr>
      <w:r>
        <w:separator/>
      </w:r>
    </w:p>
  </w:endnote>
  <w:endnote w:type="continuationSeparator" w:id="0">
    <w:p w14:paraId="7D4A0DFE" w14:textId="77777777" w:rsidR="00655695" w:rsidRDefault="006556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D1E2F" w14:paraId="0CD34ED0" w14:textId="77777777">
      <w:tc>
        <w:tcPr>
          <w:tcW w:w="1542" w:type="pct"/>
        </w:tcPr>
        <w:p w14:paraId="2C1974CB" w14:textId="77777777" w:rsidR="006D1E2F" w:rsidRDefault="00655695">
          <w:pPr>
            <w:pStyle w:val="a8"/>
          </w:pPr>
          <w:r>
            <w:fldChar w:fldCharType="begin"/>
          </w:r>
          <w:r>
            <w:instrText xml:space="preserve"> DATE \@ "yyyy-MM-dd" </w:instrText>
          </w:r>
          <w:r>
            <w:fldChar w:fldCharType="separate"/>
          </w:r>
          <w:r w:rsidR="00F517A5">
            <w:rPr>
              <w:noProof/>
            </w:rPr>
            <w:t>2021-12-31</w:t>
          </w:r>
          <w:r>
            <w:fldChar w:fldCharType="end"/>
          </w:r>
        </w:p>
      </w:tc>
      <w:tc>
        <w:tcPr>
          <w:tcW w:w="1853" w:type="pct"/>
        </w:tcPr>
        <w:p w14:paraId="67A2543A" w14:textId="77777777" w:rsidR="006D1E2F" w:rsidRDefault="00655695">
          <w:pPr>
            <w:pStyle w:val="a8"/>
            <w:ind w:firstLineChars="200" w:firstLine="360"/>
          </w:pPr>
          <w:r>
            <w:rPr>
              <w:rFonts w:hint="eastAsia"/>
            </w:rPr>
            <w:t>HUAWEI Confidential</w:t>
          </w:r>
        </w:p>
      </w:tc>
      <w:tc>
        <w:tcPr>
          <w:tcW w:w="1605" w:type="pct"/>
        </w:tcPr>
        <w:p w14:paraId="59863605" w14:textId="77777777" w:rsidR="006D1E2F" w:rsidRDefault="0065569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18331BE" w14:textId="77777777" w:rsidR="006D1E2F" w:rsidRDefault="006D1E2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33EC2" w14:textId="77777777" w:rsidR="00655695" w:rsidRDefault="00655695">
      <w:r>
        <w:separator/>
      </w:r>
    </w:p>
  </w:footnote>
  <w:footnote w:type="continuationSeparator" w:id="0">
    <w:p w14:paraId="3AF81BBC" w14:textId="77777777" w:rsidR="00655695" w:rsidRDefault="00655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D1E2F" w14:paraId="1429DA75" w14:textId="77777777">
      <w:trPr>
        <w:cantSplit/>
        <w:trHeight w:hRule="exact" w:val="777"/>
      </w:trPr>
      <w:tc>
        <w:tcPr>
          <w:tcW w:w="492" w:type="pct"/>
          <w:tcBorders>
            <w:bottom w:val="single" w:sz="6" w:space="0" w:color="auto"/>
          </w:tcBorders>
        </w:tcPr>
        <w:p w14:paraId="052B58A9" w14:textId="77777777" w:rsidR="006D1E2F" w:rsidRDefault="00655695">
          <w:pPr>
            <w:pStyle w:val="a9"/>
          </w:pPr>
          <w:r>
            <w:rPr>
              <w:noProof/>
              <w:snapToGrid/>
            </w:rPr>
            <w:drawing>
              <wp:inline distT="0" distB="0" distL="0" distR="0" wp14:anchorId="1D4D4BE0" wp14:editId="39649D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AF4EBD6" w14:textId="77777777" w:rsidR="006D1E2F" w:rsidRDefault="006D1E2F">
          <w:pPr>
            <w:ind w:left="420"/>
          </w:pPr>
        </w:p>
      </w:tc>
      <w:tc>
        <w:tcPr>
          <w:tcW w:w="3283" w:type="pct"/>
          <w:tcBorders>
            <w:bottom w:val="single" w:sz="6" w:space="0" w:color="auto"/>
          </w:tcBorders>
          <w:vAlign w:val="bottom"/>
        </w:tcPr>
        <w:p w14:paraId="51086388" w14:textId="77777777" w:rsidR="006D1E2F" w:rsidRDefault="00655695">
          <w:pPr>
            <w:pStyle w:val="a9"/>
            <w:ind w:firstLine="360"/>
          </w:pPr>
          <w:r>
            <w:t>OPEN SOURCE SOFTWARE NOTICE</w:t>
          </w:r>
        </w:p>
      </w:tc>
      <w:tc>
        <w:tcPr>
          <w:tcW w:w="1225" w:type="pct"/>
          <w:tcBorders>
            <w:bottom w:val="single" w:sz="6" w:space="0" w:color="auto"/>
          </w:tcBorders>
          <w:vAlign w:val="bottom"/>
        </w:tcPr>
        <w:p w14:paraId="49DF3CBC" w14:textId="77777777" w:rsidR="006D1E2F" w:rsidRDefault="006D1E2F">
          <w:pPr>
            <w:pStyle w:val="a9"/>
            <w:ind w:firstLine="33"/>
          </w:pPr>
        </w:p>
      </w:tc>
    </w:tr>
  </w:tbl>
  <w:p w14:paraId="24AE6C09" w14:textId="77777777" w:rsidR="006D1E2F" w:rsidRDefault="006D1E2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69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E2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7A5"/>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C4F6C"/>
  <w15:docId w15:val="{6FF7D57C-2FFD-41A7-A041-34E7E401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F51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fsf.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5454</Words>
  <Characters>31093</Characters>
  <Application>Microsoft Office Word</Application>
  <DocSecurity>0</DocSecurity>
  <Lines>259</Lines>
  <Paragraphs>72</Paragraphs>
  <ScaleCrop>false</ScaleCrop>
  <Company>Huawei Technologies Co.,Ltd.</Company>
  <LinksUpToDate>false</LinksUpToDate>
  <CharactersWithSpaces>36475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4</cp:revision>
  <dcterms:created xsi:type="dcterms:W3CDTF">2021-09-28T13:54:00Z</dcterms:created>
  <dcterms:modified xsi:type="dcterms:W3CDTF">2021-12-31T10:49:00Z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