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junit 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LinkedIn Corp.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EPL-1.0</w:t>
      </w:r>
    </w:p>
    <w:p>
      <w:pPr>
        <w:pStyle w:val="18"/>
        <w:rPr>
          <w:rFonts w:ascii="宋体" w:hAnsi="宋体" w:cs="宋体"/>
          <w:sz w:val="22"/>
          <w:szCs w:val="22"/>
        </w:rPr>
      </w:pPr>
      <w:r>
        <w:rPr>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