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pydbus</w:t>
      </w:r>
      <w:bookmarkStart w:id="2" w:name="_GoBack"/>
      <w:bookmarkEnd w:id="2"/>
      <w:r>
        <w:rPr>
          <w:rFonts w:ascii="微软雅黑" w:hAnsi="微软雅黑"/>
          <w:b w:val="0"/>
          <w:sz w:val="21"/>
        </w:rPr>
        <w:t xml:space="preserve"> 0.6.0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2015, 2016 Linus Lewandowski &lt;linus@lew21.net&gt;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BF70F06"/>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2021-12-31T09:35:01Z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(3)YHC1HWMdbaM8uAwh7V8HOFllU4EI5HOvD6yPoW/vMcIF7MEwLsPun8n6KHlaA4/1prIRkLgu
Pf2clTRCEP/9o2ELcPZTCdQOdd2OfrodjY+am/J3l6q83tt+y/24cMfdhO3tkgJd2ZW6owL/
ELzUaVYWL3lcaaRS6Gw36GBCSQoY4w5Hd/UISIdAq8/POdSX53Ni5j5rtK1OITSFQXvlpMHN
OjJEe3TKTaI5G8cznw</vt:lpwstr>
  </property>
  <property fmtid="{D5CDD505-2E9C-101B-9397-08002B2CF9AE}" pid="11" name="_2015_ms_pID_7253431">
    <vt:lpwstr>4HlT6IUQn2QLMpOSy/hX/gFEQVG7KYe7ae/5eZMvrTJILgQIcJIAZM
b1t0gV7uiJft1PpyKh9MEppGEoSrdPerGwKyrAQq8gPZYAs8eNIrbHcUkJIFkgftN/qGsMPP
1u8izwDrAh4uL5PtrKUH8rt/CCoq35n2qF66NmHW91aXGP4kUeFVcnH533djw1M73Vmo7zIm
85QriEdPMjEG+dTWcwS1QOJf0Q3keM9Beu8u</vt:lpwstr>
  </property>
  <property fmtid="{D5CDD505-2E9C-101B-9397-08002B2CF9AE}" pid="12" name="_2015_ms_pID_7253432">
    <vt:lpwstr>iNK2zMFVGzGYLP7xWa68KjWILPbb8fWqzAhc
UZJsGhMVzj/VhBtQw/LrFge3gboBIkjVfvtZwpO3DqNbbymFYUE=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