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perl-podlators 4.14</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2001, 2004, 2016, 2018 Russ Allbery &lt;rra@cpan.org&gt;</w:t>
        <w:br/>
        <w:t xml:space="preserve">Copyright 2015, 2018 Russ Allbery &lt;rra@cpan.org&gt;</w:t>
        <w:br/>
        <w:t xml:space="preserve">Copyright 1999-2010, 2012-2020 &gt;     Russ Allbery &lt;rra@cpan.org&gt;</w:t>
        <w:br/>
        <w:t xml:space="preserve">Copyright 1999-2010, 2012-2020 Russ Allbery &lt;rra@cpan.org&gt;</w:t>
        <w:br/>
        <w:t xml:space="preserve">Copyright 1999-2010, 2012-2020 Russ Allbery &lt;rra@cpan.org&gt;.  </w:t>
        <w:br/>
        <w:t xml:space="preserve">Copyright 2018-2019 Russ Allbery &lt;eagle@eyrie.org&gt;</w:t>
        <w:br/>
        <w:t xml:space="preserve">Copyright 1999-2010, 2012-2020 Russ Allbery &lt;rra@cpan.org&gt;. </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 and FSFAP</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